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Политика и процедуры </w:t>
      </w:r>
      <w:proofErr w:type="gramStart"/>
      <w:r>
        <w:rPr>
          <w:bCs/>
          <w:sz w:val="24"/>
        </w:rPr>
        <w:t>СМ</w:t>
      </w:r>
      <w:proofErr w:type="gramEnd"/>
      <w:r>
        <w:rPr>
          <w:bCs/>
          <w:sz w:val="24"/>
        </w:rPr>
        <w:t xml:space="preserve"> ЭЦ обеспечивают конструктивное, беспристрастное и своевременное рассмотрение всех обращений: предложений, жалоб или апелляций, изложенных в письменной форме или в форме электронного документа, поступивших по почте или по информационным системам общего пользования.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Рассмотрению подлежат обращения от всех заявителей в рамках компетенции деятельности ЭЦ, не допускающей дискриминацию в отношении ее заявителей. 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В состав обращения должно входить: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- Наименование подателя, адрес, реквизиты, включая ИНН (для юридического лица), контакты.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- Описание возникших претензий.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- Документарные свидетельства (аргументация).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ЭЦ должен подтвердить получение обращения.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Поступившие обращения подлежат: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- обязательной регистрации с момента поступления в соответствующем журнале ЭЦ; 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- рассмотрению в срок до 20 рабочих дней;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- доведению до заявителя об окончании процесса рассмотрения апелляции (жалобы) и принятого решения.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 xml:space="preserve">Рассмотрением </w:t>
      </w:r>
      <w:bookmarkStart w:id="0" w:name="_GoBack"/>
      <w:bookmarkEnd w:id="0"/>
      <w:r>
        <w:rPr>
          <w:bCs/>
          <w:sz w:val="24"/>
        </w:rPr>
        <w:t>жалоб (апелляций), возникающих у заказчиков или других сторон в процессе деятельности по аттестации занимается комиссия, которая принимает решение об обоснованности жалоб (апелляций), обеспечивает отслеживание, ведение и хранение всех записей по жалобам (апелляциям), включая меры, принятые для разрешения вопроса и принятие, в соответствующих случаях, необходимых поправок и мер по устранению недостатков.</w:t>
      </w:r>
      <w:proofErr w:type="gramEnd"/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Требования к комиссии по рассмотрению жалоб (апелляций):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•</w:t>
      </w:r>
      <w:r>
        <w:rPr>
          <w:bCs/>
          <w:sz w:val="24"/>
        </w:rPr>
        <w:tab/>
        <w:t xml:space="preserve"> в состав входит не менее трех специалистов, квалифицированных в рассматриваемой области;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•</w:t>
      </w:r>
      <w:r>
        <w:rPr>
          <w:bCs/>
          <w:sz w:val="24"/>
        </w:rPr>
        <w:tab/>
        <w:t xml:space="preserve"> члены комиссии не были исполнителями работы, на которую поступила жалоба (претензия);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•</w:t>
      </w:r>
      <w:r>
        <w:rPr>
          <w:bCs/>
          <w:sz w:val="24"/>
        </w:rPr>
        <w:tab/>
        <w:t xml:space="preserve"> отсутствие конфликта интересов (личных, административных или коммерческих)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Руководство деятельностью комиссии осуществляет руководитель ЭЦ.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>ЭЦ несет ответственность за все решения на всех уровнях процесса рассмотрения апелляции и сообщает о них в НОАП ООО «ИКЦ «Арина».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В случае поступления жалобы ЭЦ устанавливает, связана ли жалоба с деятельностью по аттестации, за которую ЭЦ несет ответственность и, если да, проводит соответствующие корректирующие мероприятия,  </w:t>
      </w:r>
      <w:proofErr w:type="gramStart"/>
      <w:r>
        <w:rPr>
          <w:bCs/>
          <w:sz w:val="24"/>
        </w:rPr>
        <w:t>предоставляет ее подателю отчеты</w:t>
      </w:r>
      <w:proofErr w:type="gramEnd"/>
      <w:r>
        <w:rPr>
          <w:bCs/>
          <w:sz w:val="24"/>
        </w:rPr>
        <w:t xml:space="preserve"> о ходе рассмотрении и принятом решении.</w:t>
      </w:r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>ЭЦ, получивший жалобу, отвечает за сбор и проверку всей необходимой информации, относящейся к жалобе и сообщает о них в НОАП ООО «ИКЦ «Арина».</w:t>
      </w:r>
      <w:proofErr w:type="gramEnd"/>
    </w:p>
    <w:p w:rsidR="00741067" w:rsidRDefault="00741067" w:rsidP="00741067">
      <w:pPr>
        <w:spacing w:line="100" w:lineRule="atLeast"/>
        <w:ind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>В случае обоснованной жалобы на аттестованного специалиста, ЭЦ должен в соответствующий срок известить об этом данного специалиста, уведомить НОАП.</w:t>
      </w:r>
      <w:proofErr w:type="gramEnd"/>
    </w:p>
    <w:p w:rsidR="0014415B" w:rsidRDefault="00741067" w:rsidP="00741067">
      <w:r>
        <w:rPr>
          <w:bCs/>
          <w:sz w:val="24"/>
        </w:rPr>
        <w:t>На процесс рассмотрения жалоб распространяются требования к конфиденциальности, как в отношении подателя, так и в отношении предмета жалобы.</w:t>
      </w:r>
    </w:p>
    <w:sectPr w:rsidR="0014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67"/>
    <w:rsid w:val="0014415B"/>
    <w:rsid w:val="0074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2023-10-17T04:09:00Z</dcterms:created>
  <dcterms:modified xsi:type="dcterms:W3CDTF">2023-10-17T04:11:00Z</dcterms:modified>
</cp:coreProperties>
</file>